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A08" w:rsidRDefault="00D20A08">
      <w:pPr>
        <w:snapToGrid w:val="0"/>
        <w:spacing w:afterLines="50" w:after="180" w:line="400" w:lineRule="atLeast"/>
        <w:jc w:val="center"/>
        <w:rPr>
          <w:rFonts w:ascii="標楷體" w:eastAsia="標楷體" w:hAnsi="標楷體" w:hint="eastAsia"/>
          <w:sz w:val="40"/>
        </w:rPr>
      </w:pPr>
      <w:r>
        <w:rPr>
          <w:rFonts w:ascii="標楷體" w:eastAsia="標楷體" w:hAnsi="標楷體" w:hint="eastAsia"/>
          <w:sz w:val="40"/>
        </w:rPr>
        <w:t>木製板材類</w:t>
      </w:r>
      <w:bookmarkStart w:id="0" w:name="_GoBack"/>
      <w:bookmarkEnd w:id="0"/>
      <w:r>
        <w:rPr>
          <w:rFonts w:ascii="標楷體" w:eastAsia="標楷體" w:hAnsi="標楷體" w:hint="eastAsia"/>
          <w:sz w:val="40"/>
        </w:rPr>
        <w:t>商品申請型式認可作業流程及相關表格</w:t>
      </w:r>
    </w:p>
    <w:p w:rsidR="00D20A08" w:rsidRDefault="00D20A08">
      <w:pPr>
        <w:snapToGrid w:val="0"/>
        <w:spacing w:after="50" w:line="400" w:lineRule="atLeast"/>
        <w:ind w:left="560" w:hangingChars="200" w:hanging="56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一</w:t>
      </w:r>
      <w:r>
        <w:rPr>
          <w:rFonts w:ascii="標楷體" w:eastAsia="標楷體" w:hAnsi="標楷體"/>
          <w:sz w:val="28"/>
        </w:rPr>
        <w:t>、</w:t>
      </w:r>
      <w:r>
        <w:rPr>
          <w:rFonts w:ascii="標楷體" w:eastAsia="標楷體" w:hAnsi="標楷體" w:hint="eastAsia"/>
          <w:sz w:val="28"/>
        </w:rPr>
        <w:t>適用範圍：</w:t>
      </w:r>
      <w:r>
        <w:rPr>
          <w:rFonts w:ascii="標楷體" w:eastAsia="標楷體" w:hAnsi="標楷體"/>
          <w:sz w:val="28"/>
        </w:rPr>
        <w:t>層</w:t>
      </w:r>
      <w:proofErr w:type="gramStart"/>
      <w:r>
        <w:rPr>
          <w:rFonts w:ascii="標楷體" w:eastAsia="標楷體" w:hAnsi="標楷體"/>
          <w:sz w:val="28"/>
        </w:rPr>
        <w:t>積材類</w:t>
      </w:r>
      <w:proofErr w:type="gramEnd"/>
      <w:r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/>
          <w:sz w:val="28"/>
        </w:rPr>
        <w:t>合板類</w:t>
      </w:r>
      <w:r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/>
          <w:sz w:val="28"/>
        </w:rPr>
        <w:t>木質地板類</w:t>
      </w:r>
      <w:r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/>
          <w:sz w:val="28"/>
        </w:rPr>
        <w:t>集成材類</w:t>
      </w:r>
      <w:r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/>
          <w:sz w:val="28"/>
        </w:rPr>
        <w:t>中密度纖維板</w:t>
      </w:r>
      <w:proofErr w:type="gramStart"/>
      <w:r>
        <w:rPr>
          <w:rFonts w:ascii="標楷體" w:eastAsia="標楷體" w:hAnsi="標楷體"/>
          <w:sz w:val="28"/>
        </w:rPr>
        <w:t>及粒片</w:t>
      </w:r>
      <w:proofErr w:type="gramEnd"/>
      <w:r>
        <w:rPr>
          <w:rFonts w:ascii="標楷體" w:eastAsia="標楷體" w:hAnsi="標楷體"/>
          <w:sz w:val="28"/>
        </w:rPr>
        <w:t>板</w:t>
      </w:r>
      <w:r>
        <w:rPr>
          <w:rFonts w:ascii="標楷體" w:eastAsia="標楷體" w:hAnsi="標楷體" w:hint="eastAsia"/>
          <w:sz w:val="28"/>
        </w:rPr>
        <w:t>。</w:t>
      </w:r>
    </w:p>
    <w:p w:rsidR="00D20A08" w:rsidRDefault="00D20A08">
      <w:pPr>
        <w:snapToGrid w:val="0"/>
        <w:spacing w:after="50" w:line="400" w:lineRule="atLeast"/>
        <w:ind w:left="560" w:hangingChars="200" w:hanging="560"/>
        <w:rPr>
          <w:rFonts w:ascii="標楷體" w:eastAsia="標楷體" w:hAnsi="標楷體" w:hint="eastAsia"/>
          <w:sz w:val="28"/>
        </w:rPr>
      </w:pPr>
    </w:p>
    <w:p w:rsidR="00D20A08" w:rsidRDefault="00D20A08">
      <w:pPr>
        <w:snapToGrid w:val="0"/>
        <w:spacing w:after="50" w:line="400" w:lineRule="atLeas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二</w:t>
      </w:r>
      <w:r>
        <w:rPr>
          <w:rFonts w:ascii="標楷體" w:eastAsia="標楷體" w:hAnsi="標楷體"/>
          <w:sz w:val="28"/>
        </w:rPr>
        <w:t>、</w:t>
      </w:r>
      <w:r>
        <w:rPr>
          <w:rFonts w:ascii="標楷體" w:eastAsia="標楷體" w:hAnsi="標楷體" w:hint="eastAsia"/>
          <w:sz w:val="28"/>
        </w:rPr>
        <w:t>步驟一，申請型式試驗：</w:t>
      </w:r>
    </w:p>
    <w:p w:rsidR="00D20A08" w:rsidRDefault="00D20A08">
      <w:pPr>
        <w:snapToGrid w:val="0"/>
        <w:spacing w:after="50" w:line="400" w:lineRule="atLeast"/>
        <w:ind w:leftChars="200" w:left="1180" w:hangingChars="250" w:hanging="70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(</w:t>
      </w:r>
      <w:proofErr w:type="gramStart"/>
      <w:r>
        <w:rPr>
          <w:rFonts w:ascii="標楷體" w:eastAsia="標楷體" w:hAnsi="標楷體" w:hint="eastAsia"/>
          <w:sz w:val="28"/>
        </w:rPr>
        <w:t>一</w:t>
      </w:r>
      <w:proofErr w:type="gramEnd"/>
      <w:r>
        <w:rPr>
          <w:rFonts w:ascii="標楷體" w:eastAsia="標楷體" w:hAnsi="標楷體" w:hint="eastAsia"/>
          <w:sz w:val="28"/>
        </w:rPr>
        <w:t>)</w:t>
      </w:r>
      <w:r>
        <w:rPr>
          <w:rFonts w:ascii="標楷體" w:eastAsia="標楷體" w:hAnsi="標楷體"/>
          <w:sz w:val="28"/>
        </w:rPr>
        <w:t>申請人應依不同之</w:t>
      </w:r>
      <w:r>
        <w:rPr>
          <w:rFonts w:ascii="標楷體" w:eastAsia="標楷體" w:hAnsi="標楷體"/>
          <w:color w:val="FF0000"/>
          <w:sz w:val="28"/>
          <w:u w:val="single"/>
        </w:rPr>
        <w:t>主型式（含系列型式）</w:t>
      </w:r>
      <w:r>
        <w:rPr>
          <w:rFonts w:ascii="標楷體" w:eastAsia="標楷體" w:hAnsi="標楷體"/>
          <w:sz w:val="28"/>
        </w:rPr>
        <w:t>檢具各木製板材類商品之</w:t>
      </w:r>
      <w:r>
        <w:rPr>
          <w:rFonts w:ascii="標楷體" w:eastAsia="標楷體" w:hAnsi="標楷體"/>
          <w:sz w:val="28"/>
          <w:u w:val="single"/>
          <w:shd w:val="pct15" w:color="auto" w:fill="FFFFFF"/>
        </w:rPr>
        <w:t>型式分類表</w:t>
      </w:r>
      <w:r>
        <w:rPr>
          <w:rFonts w:ascii="標楷體" w:eastAsia="標楷體" w:hAnsi="標楷體"/>
          <w:sz w:val="28"/>
        </w:rPr>
        <w:t>、</w:t>
      </w:r>
      <w:r>
        <w:rPr>
          <w:rFonts w:ascii="標楷體" w:eastAsia="標楷體" w:hAnsi="標楷體"/>
          <w:color w:val="FF0000"/>
          <w:sz w:val="28"/>
          <w:u w:val="single"/>
        </w:rPr>
        <w:t>技術文件</w:t>
      </w:r>
      <w:r>
        <w:rPr>
          <w:rFonts w:ascii="標楷體" w:eastAsia="標楷體" w:hAnsi="標楷體"/>
          <w:sz w:val="28"/>
        </w:rPr>
        <w:t>三份及</w:t>
      </w:r>
      <w:r>
        <w:rPr>
          <w:rFonts w:ascii="標楷體" w:eastAsia="標楷體" w:hAnsi="標楷體"/>
          <w:color w:val="FF0000"/>
          <w:sz w:val="28"/>
          <w:u w:val="single"/>
        </w:rPr>
        <w:t>樣品</w:t>
      </w:r>
      <w:r>
        <w:rPr>
          <w:rFonts w:ascii="標楷體" w:eastAsia="標楷體" w:hAnsi="標楷體"/>
          <w:sz w:val="28"/>
        </w:rPr>
        <w:t>，向經濟部標準檢驗局、其所屬轄區分局</w:t>
      </w:r>
      <w:proofErr w:type="gramStart"/>
      <w:r>
        <w:rPr>
          <w:rFonts w:ascii="標楷體" w:eastAsia="標楷體" w:hAnsi="標楷體"/>
          <w:sz w:val="28"/>
        </w:rPr>
        <w:t>（</w:t>
      </w:r>
      <w:proofErr w:type="gramEnd"/>
      <w:r>
        <w:rPr>
          <w:rFonts w:ascii="標楷體" w:eastAsia="標楷體" w:hAnsi="標楷體"/>
          <w:sz w:val="28"/>
        </w:rPr>
        <w:t>甲醛釋出量試驗：</w:t>
      </w:r>
      <w:proofErr w:type="gramStart"/>
      <w:r>
        <w:rPr>
          <w:rFonts w:ascii="標楷體" w:eastAsia="標楷體" w:hAnsi="標楷體"/>
          <w:sz w:val="28"/>
        </w:rPr>
        <w:t>臺</w:t>
      </w:r>
      <w:proofErr w:type="gramEnd"/>
      <w:r>
        <w:rPr>
          <w:rFonts w:ascii="標楷體" w:eastAsia="標楷體" w:hAnsi="標楷體"/>
          <w:sz w:val="28"/>
        </w:rPr>
        <w:t>南</w:t>
      </w:r>
      <w:r w:rsidR="006C53C7">
        <w:rPr>
          <w:rFonts w:ascii="標楷體" w:eastAsia="標楷體" w:hAnsi="標楷體" w:hint="eastAsia"/>
          <w:sz w:val="28"/>
        </w:rPr>
        <w:t>分局</w:t>
      </w:r>
      <w:r>
        <w:rPr>
          <w:rFonts w:ascii="標楷體" w:eastAsia="標楷體" w:hAnsi="標楷體"/>
          <w:sz w:val="28"/>
        </w:rPr>
        <w:t>除外；</w:t>
      </w:r>
      <w:proofErr w:type="gramStart"/>
      <w:r>
        <w:rPr>
          <w:rFonts w:ascii="標楷體" w:eastAsia="標楷體" w:hAnsi="標楷體"/>
          <w:sz w:val="28"/>
        </w:rPr>
        <w:t>耐燃性試驗</w:t>
      </w:r>
      <w:proofErr w:type="gramEnd"/>
      <w:r>
        <w:rPr>
          <w:rFonts w:ascii="標楷體" w:eastAsia="標楷體" w:hAnsi="標楷體"/>
          <w:sz w:val="28"/>
        </w:rPr>
        <w:t>：新竹、</w:t>
      </w:r>
      <w:proofErr w:type="gramStart"/>
      <w:r>
        <w:rPr>
          <w:rFonts w:ascii="標楷體" w:eastAsia="標楷體" w:hAnsi="標楷體"/>
          <w:sz w:val="28"/>
        </w:rPr>
        <w:t>臺</w:t>
      </w:r>
      <w:proofErr w:type="gramEnd"/>
      <w:r>
        <w:rPr>
          <w:rFonts w:ascii="標楷體" w:eastAsia="標楷體" w:hAnsi="標楷體"/>
          <w:sz w:val="28"/>
        </w:rPr>
        <w:t>南及花蓮分局除外</w:t>
      </w:r>
      <w:proofErr w:type="gramStart"/>
      <w:r>
        <w:rPr>
          <w:rFonts w:ascii="標楷體" w:eastAsia="標楷體" w:hAnsi="標楷體"/>
          <w:sz w:val="28"/>
        </w:rPr>
        <w:t>）</w:t>
      </w:r>
      <w:proofErr w:type="gramEnd"/>
      <w:r>
        <w:rPr>
          <w:rFonts w:ascii="標楷體" w:eastAsia="標楷體" w:hAnsi="標楷體"/>
          <w:sz w:val="28"/>
        </w:rPr>
        <w:t>或其</w:t>
      </w:r>
      <w:r>
        <w:rPr>
          <w:rFonts w:ascii="標楷體" w:eastAsia="標楷體" w:hAnsi="標楷體"/>
          <w:b/>
          <w:bCs/>
          <w:i/>
          <w:iCs/>
          <w:color w:val="00FF00"/>
          <w:sz w:val="28"/>
          <w:u w:val="single"/>
        </w:rPr>
        <w:t>認可之指定試驗室</w:t>
      </w:r>
      <w:r>
        <w:rPr>
          <w:rFonts w:ascii="標楷體" w:eastAsia="標楷體" w:hAnsi="標楷體"/>
          <w:sz w:val="28"/>
        </w:rPr>
        <w:t>提出型式試驗申請</w:t>
      </w:r>
      <w:r>
        <w:rPr>
          <w:rFonts w:ascii="標楷體" w:eastAsia="標楷體" w:hAnsi="標楷體" w:hint="eastAsia"/>
          <w:sz w:val="28"/>
        </w:rPr>
        <w:t>。</w:t>
      </w:r>
    </w:p>
    <w:p w:rsidR="00D20A08" w:rsidRDefault="00D20A08">
      <w:pPr>
        <w:snapToGrid w:val="0"/>
        <w:spacing w:after="50" w:line="400" w:lineRule="atLeast"/>
        <w:ind w:leftChars="200" w:left="1180" w:hangingChars="250" w:hanging="70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(二)上述各類商品之</w:t>
      </w:r>
      <w:r>
        <w:rPr>
          <w:rFonts w:ascii="標楷體" w:eastAsia="標楷體" w:hAnsi="標楷體" w:hint="eastAsia"/>
          <w:sz w:val="28"/>
          <w:u w:val="single"/>
          <w:shd w:val="pct15" w:color="auto" w:fill="FFFFFF"/>
        </w:rPr>
        <w:t>型式分類表</w:t>
      </w:r>
      <w:r>
        <w:rPr>
          <w:rFonts w:ascii="標楷體" w:eastAsia="標楷體" w:hAnsi="標楷體" w:hint="eastAsia"/>
          <w:sz w:val="28"/>
        </w:rPr>
        <w:t>可點選後以超連結方式至相關網址下載空白表格:</w:t>
      </w:r>
    </w:p>
    <w:p w:rsidR="00D20A08" w:rsidRDefault="00D20A08">
      <w:pPr>
        <w:snapToGrid w:val="0"/>
        <w:spacing w:after="50" w:line="400" w:lineRule="atLeast"/>
        <w:ind w:leftChars="350" w:left="84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1、</w:t>
      </w:r>
      <w:hyperlink r:id="rId8" w:history="1">
        <w:r>
          <w:rPr>
            <w:rStyle w:val="a3"/>
            <w:rFonts w:ascii="標楷體" w:eastAsia="標楷體" w:hAnsi="標楷體"/>
            <w:sz w:val="28"/>
          </w:rPr>
          <w:t>層</w:t>
        </w:r>
        <w:proofErr w:type="gramStart"/>
        <w:r>
          <w:rPr>
            <w:rStyle w:val="a3"/>
            <w:rFonts w:ascii="標楷體" w:eastAsia="標楷體" w:hAnsi="標楷體"/>
            <w:sz w:val="28"/>
          </w:rPr>
          <w:t>積</w:t>
        </w:r>
        <w:r>
          <w:rPr>
            <w:rStyle w:val="a3"/>
            <w:rFonts w:ascii="標楷體" w:eastAsia="標楷體" w:hAnsi="標楷體"/>
            <w:sz w:val="28"/>
          </w:rPr>
          <w:t>材</w:t>
        </w:r>
        <w:r>
          <w:rPr>
            <w:rStyle w:val="a3"/>
            <w:rFonts w:ascii="標楷體" w:eastAsia="標楷體" w:hAnsi="標楷體"/>
            <w:sz w:val="28"/>
          </w:rPr>
          <w:t>類</w:t>
        </w:r>
        <w:proofErr w:type="gramEnd"/>
      </w:hyperlink>
    </w:p>
    <w:p w:rsidR="00D20A08" w:rsidRDefault="00D20A08">
      <w:pPr>
        <w:snapToGrid w:val="0"/>
        <w:spacing w:after="50" w:line="400" w:lineRule="atLeast"/>
        <w:ind w:leftChars="350" w:left="84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2、</w:t>
      </w:r>
      <w:hyperlink r:id="rId9" w:history="1">
        <w:r>
          <w:rPr>
            <w:rStyle w:val="a3"/>
            <w:rFonts w:ascii="標楷體" w:eastAsia="標楷體" w:hAnsi="標楷體"/>
            <w:sz w:val="28"/>
          </w:rPr>
          <w:t>合</w:t>
        </w:r>
        <w:r>
          <w:rPr>
            <w:rStyle w:val="a3"/>
            <w:rFonts w:ascii="標楷體" w:eastAsia="標楷體" w:hAnsi="標楷體"/>
            <w:sz w:val="28"/>
          </w:rPr>
          <w:t>板</w:t>
        </w:r>
        <w:r>
          <w:rPr>
            <w:rStyle w:val="a3"/>
            <w:rFonts w:ascii="標楷體" w:eastAsia="標楷體" w:hAnsi="標楷體"/>
            <w:sz w:val="28"/>
          </w:rPr>
          <w:t>類</w:t>
        </w:r>
      </w:hyperlink>
    </w:p>
    <w:p w:rsidR="00D20A08" w:rsidRDefault="00D20A08">
      <w:pPr>
        <w:snapToGrid w:val="0"/>
        <w:spacing w:after="50" w:line="400" w:lineRule="atLeast"/>
        <w:ind w:leftChars="350" w:left="84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3、</w:t>
      </w:r>
      <w:hyperlink r:id="rId10" w:history="1">
        <w:r>
          <w:rPr>
            <w:rStyle w:val="a3"/>
            <w:rFonts w:ascii="標楷體" w:eastAsia="標楷體" w:hAnsi="標楷體"/>
            <w:sz w:val="28"/>
          </w:rPr>
          <w:t>木質</w:t>
        </w:r>
        <w:r>
          <w:rPr>
            <w:rStyle w:val="a3"/>
            <w:rFonts w:ascii="標楷體" w:eastAsia="標楷體" w:hAnsi="標楷體"/>
            <w:sz w:val="28"/>
          </w:rPr>
          <w:t>地</w:t>
        </w:r>
        <w:r>
          <w:rPr>
            <w:rStyle w:val="a3"/>
            <w:rFonts w:ascii="標楷體" w:eastAsia="標楷體" w:hAnsi="標楷體"/>
            <w:sz w:val="28"/>
          </w:rPr>
          <w:t>板類</w:t>
        </w:r>
      </w:hyperlink>
    </w:p>
    <w:p w:rsidR="00D20A08" w:rsidRDefault="00D20A08">
      <w:pPr>
        <w:snapToGrid w:val="0"/>
        <w:spacing w:after="50" w:line="400" w:lineRule="atLeast"/>
        <w:ind w:leftChars="350" w:left="84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4、</w:t>
      </w:r>
      <w:hyperlink r:id="rId11" w:history="1">
        <w:r>
          <w:rPr>
            <w:rStyle w:val="a3"/>
            <w:rFonts w:ascii="標楷體" w:eastAsia="標楷體" w:hAnsi="標楷體"/>
            <w:sz w:val="28"/>
          </w:rPr>
          <w:t>集成</w:t>
        </w:r>
        <w:r>
          <w:rPr>
            <w:rStyle w:val="a3"/>
            <w:rFonts w:ascii="標楷體" w:eastAsia="標楷體" w:hAnsi="標楷體"/>
            <w:sz w:val="28"/>
          </w:rPr>
          <w:t>材</w:t>
        </w:r>
        <w:r>
          <w:rPr>
            <w:rStyle w:val="a3"/>
            <w:rFonts w:ascii="標楷體" w:eastAsia="標楷體" w:hAnsi="標楷體"/>
            <w:sz w:val="28"/>
          </w:rPr>
          <w:t>類</w:t>
        </w:r>
      </w:hyperlink>
    </w:p>
    <w:p w:rsidR="00D20A08" w:rsidRDefault="00D20A08">
      <w:pPr>
        <w:snapToGrid w:val="0"/>
        <w:spacing w:after="50" w:line="400" w:lineRule="atLeast"/>
        <w:ind w:leftChars="350" w:left="84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5、</w:t>
      </w:r>
      <w:hyperlink r:id="rId12" w:history="1">
        <w:r>
          <w:rPr>
            <w:rStyle w:val="a3"/>
            <w:rFonts w:ascii="標楷體" w:eastAsia="標楷體" w:hAnsi="標楷體"/>
            <w:sz w:val="28"/>
          </w:rPr>
          <w:t>中</w:t>
        </w:r>
        <w:r>
          <w:rPr>
            <w:rStyle w:val="a3"/>
            <w:rFonts w:ascii="標楷體" w:eastAsia="標楷體" w:hAnsi="標楷體"/>
            <w:sz w:val="28"/>
          </w:rPr>
          <w:t>密</w:t>
        </w:r>
        <w:r>
          <w:rPr>
            <w:rStyle w:val="a3"/>
            <w:rFonts w:ascii="標楷體" w:eastAsia="標楷體" w:hAnsi="標楷體"/>
            <w:sz w:val="28"/>
          </w:rPr>
          <w:t>度</w:t>
        </w:r>
        <w:r>
          <w:rPr>
            <w:rStyle w:val="a3"/>
            <w:rFonts w:ascii="標楷體" w:eastAsia="標楷體" w:hAnsi="標楷體"/>
            <w:sz w:val="28"/>
          </w:rPr>
          <w:t>纖</w:t>
        </w:r>
        <w:r>
          <w:rPr>
            <w:rStyle w:val="a3"/>
            <w:rFonts w:ascii="標楷體" w:eastAsia="標楷體" w:hAnsi="標楷體"/>
            <w:sz w:val="28"/>
          </w:rPr>
          <w:t>維</w:t>
        </w:r>
        <w:r>
          <w:rPr>
            <w:rStyle w:val="a3"/>
            <w:rFonts w:ascii="標楷體" w:eastAsia="標楷體" w:hAnsi="標楷體"/>
            <w:sz w:val="28"/>
          </w:rPr>
          <w:t>板</w:t>
        </w:r>
        <w:proofErr w:type="gramStart"/>
        <w:r>
          <w:rPr>
            <w:rStyle w:val="a3"/>
            <w:rFonts w:ascii="標楷體" w:eastAsia="標楷體" w:hAnsi="標楷體"/>
            <w:sz w:val="28"/>
          </w:rPr>
          <w:t>及粒片</w:t>
        </w:r>
        <w:proofErr w:type="gramEnd"/>
        <w:r>
          <w:rPr>
            <w:rStyle w:val="a3"/>
            <w:rFonts w:ascii="標楷體" w:eastAsia="標楷體" w:hAnsi="標楷體"/>
            <w:sz w:val="28"/>
          </w:rPr>
          <w:t>板</w:t>
        </w:r>
      </w:hyperlink>
    </w:p>
    <w:p w:rsidR="00D20A08" w:rsidRDefault="00D20A08">
      <w:pPr>
        <w:snapToGrid w:val="0"/>
        <w:spacing w:after="50" w:line="400" w:lineRule="atLeast"/>
        <w:ind w:leftChars="200" w:left="1180" w:hangingChars="250" w:hanging="70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(三)上述各類商品之</w:t>
      </w:r>
      <w:r>
        <w:rPr>
          <w:rFonts w:ascii="標楷體" w:eastAsia="標楷體" w:hAnsi="標楷體"/>
          <w:color w:val="FF0000"/>
          <w:sz w:val="28"/>
        </w:rPr>
        <w:t>主型式（含系列型式）</w:t>
      </w:r>
      <w:r>
        <w:rPr>
          <w:rFonts w:ascii="標楷體" w:eastAsia="標楷體" w:hAnsi="標楷體" w:hint="eastAsia"/>
          <w:color w:val="FF0000"/>
          <w:sz w:val="28"/>
        </w:rPr>
        <w:t>之認定、</w:t>
      </w:r>
      <w:r>
        <w:rPr>
          <w:rFonts w:ascii="標楷體" w:eastAsia="標楷體" w:hAnsi="標楷體"/>
          <w:color w:val="FF0000"/>
          <w:sz w:val="28"/>
        </w:rPr>
        <w:t>技術文件</w:t>
      </w:r>
      <w:r>
        <w:rPr>
          <w:rFonts w:ascii="標楷體" w:eastAsia="標楷體" w:hAnsi="標楷體" w:hint="eastAsia"/>
          <w:color w:val="FF0000"/>
          <w:sz w:val="28"/>
        </w:rPr>
        <w:t>、樣品及型式試驗原則</w:t>
      </w:r>
      <w:r>
        <w:rPr>
          <w:rFonts w:ascii="標楷體" w:eastAsia="標楷體" w:hAnsi="標楷體" w:hint="eastAsia"/>
          <w:sz w:val="28"/>
        </w:rPr>
        <w:t>，詳如</w:t>
      </w:r>
      <w:hyperlink r:id="rId13" w:history="1">
        <w:r>
          <w:rPr>
            <w:rStyle w:val="a3"/>
            <w:rFonts w:ascii="標楷體" w:eastAsia="標楷體" w:hAnsi="標楷體"/>
            <w:sz w:val="28"/>
          </w:rPr>
          <w:t>木製板材</w:t>
        </w:r>
        <w:r>
          <w:rPr>
            <w:rStyle w:val="a3"/>
            <w:rFonts w:ascii="標楷體" w:eastAsia="標楷體" w:hAnsi="標楷體"/>
            <w:sz w:val="28"/>
          </w:rPr>
          <w:t>類</w:t>
        </w:r>
        <w:r>
          <w:rPr>
            <w:rStyle w:val="a3"/>
            <w:rFonts w:ascii="標楷體" w:eastAsia="標楷體" w:hAnsi="標楷體"/>
            <w:sz w:val="28"/>
          </w:rPr>
          <w:t>商品檢</w:t>
        </w:r>
        <w:r>
          <w:rPr>
            <w:rStyle w:val="a3"/>
            <w:rFonts w:ascii="標楷體" w:eastAsia="標楷體" w:hAnsi="標楷體"/>
            <w:sz w:val="28"/>
          </w:rPr>
          <w:t>驗</w:t>
        </w:r>
        <w:r>
          <w:rPr>
            <w:rStyle w:val="a3"/>
            <w:rFonts w:ascii="標楷體" w:eastAsia="標楷體" w:hAnsi="標楷體"/>
            <w:sz w:val="28"/>
          </w:rPr>
          <w:t>作業規定</w:t>
        </w:r>
      </w:hyperlink>
      <w:r>
        <w:rPr>
          <w:rFonts w:ascii="標楷體" w:eastAsia="標楷體" w:hAnsi="標楷體" w:hint="eastAsia"/>
          <w:sz w:val="28"/>
        </w:rPr>
        <w:t>(點選後以超連結方式至相關網址查詢規定內容)第三點</w:t>
      </w:r>
      <w:r w:rsidR="009879D6"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 w:hint="eastAsia"/>
          <w:sz w:val="28"/>
        </w:rPr>
        <w:t>第</w:t>
      </w:r>
      <w:r w:rsidR="009879D6">
        <w:rPr>
          <w:rFonts w:ascii="標楷體" w:eastAsia="標楷體" w:hAnsi="標楷體" w:hint="eastAsia"/>
          <w:sz w:val="28"/>
        </w:rPr>
        <w:t>十一</w:t>
      </w:r>
      <w:r w:rsidR="006C53C7">
        <w:rPr>
          <w:rFonts w:ascii="標楷體" w:eastAsia="標楷體" w:hAnsi="標楷體" w:hint="eastAsia"/>
          <w:sz w:val="28"/>
        </w:rPr>
        <w:t>點</w:t>
      </w:r>
      <w:r w:rsidR="009879D6">
        <w:rPr>
          <w:rFonts w:ascii="標楷體" w:eastAsia="標楷體" w:hAnsi="標楷體" w:hint="eastAsia"/>
          <w:sz w:val="28"/>
        </w:rPr>
        <w:t>及第十二</w:t>
      </w:r>
      <w:r>
        <w:rPr>
          <w:rFonts w:ascii="標楷體" w:eastAsia="標楷體" w:hAnsi="標楷體" w:hint="eastAsia"/>
          <w:sz w:val="28"/>
        </w:rPr>
        <w:t>點。</w:t>
      </w:r>
    </w:p>
    <w:p w:rsidR="00D20A08" w:rsidRDefault="00D20A08">
      <w:pPr>
        <w:snapToGrid w:val="0"/>
        <w:spacing w:after="50" w:line="400" w:lineRule="atLeast"/>
        <w:ind w:leftChars="200" w:left="1180" w:hangingChars="250" w:hanging="70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(四)本局</w:t>
      </w:r>
      <w:r>
        <w:rPr>
          <w:rFonts w:ascii="標楷體" w:eastAsia="標楷體" w:hAnsi="標楷體" w:hint="eastAsia"/>
          <w:b/>
          <w:bCs/>
          <w:i/>
          <w:iCs/>
          <w:color w:val="00FF00"/>
          <w:sz w:val="28"/>
          <w:u w:val="single"/>
        </w:rPr>
        <w:t>認可之指定試驗室</w:t>
      </w:r>
      <w:r>
        <w:rPr>
          <w:rFonts w:ascii="標楷體" w:eastAsia="標楷體" w:hAnsi="標楷體" w:hint="eastAsia"/>
          <w:sz w:val="28"/>
        </w:rPr>
        <w:t>查詢方式:進入</w:t>
      </w:r>
      <w:hyperlink r:id="rId14" w:history="1">
        <w:r>
          <w:rPr>
            <w:rStyle w:val="a3"/>
            <w:rFonts w:ascii="標楷體" w:eastAsia="標楷體" w:hAnsi="標楷體" w:hint="eastAsia"/>
            <w:sz w:val="28"/>
          </w:rPr>
          <w:t>查詢</w:t>
        </w:r>
        <w:r>
          <w:rPr>
            <w:rStyle w:val="a3"/>
            <w:rFonts w:ascii="標楷體" w:eastAsia="標楷體" w:hAnsi="標楷體" w:hint="eastAsia"/>
            <w:sz w:val="28"/>
          </w:rPr>
          <w:t>網</w:t>
        </w:r>
        <w:r>
          <w:rPr>
            <w:rStyle w:val="a3"/>
            <w:rFonts w:ascii="標楷體" w:eastAsia="標楷體" w:hAnsi="標楷體" w:hint="eastAsia"/>
            <w:sz w:val="28"/>
          </w:rPr>
          <w:t>頁</w:t>
        </w:r>
      </w:hyperlink>
      <w:r>
        <w:rPr>
          <w:rFonts w:ascii="標楷體" w:eastAsia="標楷體" w:hAnsi="標楷體" w:hint="eastAsia"/>
          <w:sz w:val="28"/>
        </w:rPr>
        <w:t>(點選後以超連結方式至相關網址查詢)→於選單中挑選</w:t>
      </w:r>
      <w:proofErr w:type="gramStart"/>
      <w:r>
        <w:rPr>
          <w:rFonts w:ascii="標楷體" w:eastAsia="標楷體" w:hAnsi="標楷體"/>
          <w:sz w:val="28"/>
        </w:rPr>
        <w:t>”</w:t>
      </w:r>
      <w:proofErr w:type="gramEnd"/>
      <w:r>
        <w:rPr>
          <w:rFonts w:ascii="標楷體" w:eastAsia="標楷體" w:hAnsi="標楷體" w:hint="eastAsia"/>
          <w:sz w:val="28"/>
        </w:rPr>
        <w:t>指定試驗室查詢</w:t>
      </w:r>
      <w:proofErr w:type="gramStart"/>
      <w:r>
        <w:rPr>
          <w:rFonts w:ascii="標楷體" w:eastAsia="標楷體" w:hAnsi="標楷體"/>
          <w:sz w:val="28"/>
        </w:rPr>
        <w:t>”</w:t>
      </w:r>
      <w:proofErr w:type="gramEnd"/>
      <w:r>
        <w:rPr>
          <w:rFonts w:ascii="標楷體" w:eastAsia="標楷體" w:hAnsi="標楷體" w:hint="eastAsia"/>
          <w:sz w:val="28"/>
        </w:rPr>
        <w:t>→於</w:t>
      </w:r>
      <w:proofErr w:type="gramStart"/>
      <w:r>
        <w:rPr>
          <w:rFonts w:ascii="標楷體" w:eastAsia="標楷體" w:hAnsi="標楷體"/>
          <w:sz w:val="28"/>
        </w:rPr>
        <w:t>”</w:t>
      </w:r>
      <w:proofErr w:type="gramEnd"/>
      <w:r>
        <w:rPr>
          <w:rFonts w:ascii="標楷體" w:eastAsia="標楷體" w:hAnsi="標楷體" w:hint="eastAsia"/>
          <w:sz w:val="28"/>
        </w:rPr>
        <w:t>貨品類別</w:t>
      </w:r>
      <w:proofErr w:type="gramStart"/>
      <w:r>
        <w:rPr>
          <w:rFonts w:ascii="標楷體" w:eastAsia="標楷體" w:hAnsi="標楷體"/>
          <w:sz w:val="28"/>
        </w:rPr>
        <w:t>”</w:t>
      </w:r>
      <w:proofErr w:type="gramEnd"/>
      <w:r>
        <w:rPr>
          <w:rFonts w:ascii="標楷體" w:eastAsia="標楷體" w:hAnsi="標楷體" w:hint="eastAsia"/>
          <w:sz w:val="28"/>
        </w:rPr>
        <w:t>欄位下選擇</w:t>
      </w:r>
      <w:proofErr w:type="gramStart"/>
      <w:r>
        <w:rPr>
          <w:rFonts w:ascii="標楷體" w:eastAsia="標楷體" w:hAnsi="標楷體"/>
          <w:sz w:val="28"/>
        </w:rPr>
        <w:t>”</w:t>
      </w:r>
      <w:proofErr w:type="gramEnd"/>
      <w:r>
        <w:rPr>
          <w:rFonts w:ascii="標楷體" w:eastAsia="標楷體" w:hAnsi="標楷體" w:hint="eastAsia"/>
          <w:sz w:val="28"/>
        </w:rPr>
        <w:t>木製品</w:t>
      </w:r>
      <w:proofErr w:type="gramStart"/>
      <w:r>
        <w:rPr>
          <w:rFonts w:ascii="標楷體" w:eastAsia="標楷體" w:hAnsi="標楷體"/>
          <w:sz w:val="28"/>
        </w:rPr>
        <w:t>”</w:t>
      </w:r>
      <w:proofErr w:type="gramEnd"/>
      <w:r>
        <w:rPr>
          <w:rFonts w:ascii="標楷體" w:eastAsia="標楷體" w:hAnsi="標楷體" w:hint="eastAsia"/>
          <w:sz w:val="28"/>
        </w:rPr>
        <w:t xml:space="preserve"> →按</w:t>
      </w:r>
      <w:proofErr w:type="gramStart"/>
      <w:r>
        <w:rPr>
          <w:rFonts w:ascii="標楷體" w:eastAsia="標楷體" w:hAnsi="標楷體"/>
          <w:sz w:val="28"/>
        </w:rPr>
        <w:t>”</w:t>
      </w:r>
      <w:proofErr w:type="gramEnd"/>
      <w:r>
        <w:rPr>
          <w:rFonts w:ascii="標楷體" w:eastAsia="標楷體" w:hAnsi="標楷體" w:hint="eastAsia"/>
          <w:sz w:val="28"/>
        </w:rPr>
        <w:t>查詢</w:t>
      </w:r>
      <w:proofErr w:type="gramStart"/>
      <w:r>
        <w:rPr>
          <w:rFonts w:ascii="標楷體" w:eastAsia="標楷體" w:hAnsi="標楷體"/>
          <w:sz w:val="28"/>
        </w:rPr>
        <w:t>”</w:t>
      </w:r>
      <w:proofErr w:type="gramEnd"/>
      <w:r>
        <w:rPr>
          <w:rFonts w:ascii="標楷體" w:eastAsia="標楷體" w:hAnsi="標楷體" w:hint="eastAsia"/>
          <w:sz w:val="28"/>
        </w:rPr>
        <w:t>。</w:t>
      </w:r>
    </w:p>
    <w:p w:rsidR="00D20A08" w:rsidRDefault="00D20A08">
      <w:pPr>
        <w:snapToGrid w:val="0"/>
        <w:spacing w:after="50" w:line="400" w:lineRule="atLeast"/>
        <w:ind w:leftChars="200" w:left="1180" w:hangingChars="250" w:hanging="700"/>
        <w:rPr>
          <w:rFonts w:ascii="標楷體" w:eastAsia="標楷體" w:hAnsi="標楷體" w:hint="eastAsia"/>
          <w:sz w:val="28"/>
        </w:rPr>
      </w:pPr>
    </w:p>
    <w:p w:rsidR="00D20A08" w:rsidRDefault="00D20A08">
      <w:pPr>
        <w:snapToGrid w:val="0"/>
        <w:spacing w:after="50" w:line="400" w:lineRule="atLeast"/>
        <w:ind w:left="700" w:hangingChars="250" w:hanging="70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三</w:t>
      </w:r>
      <w:r>
        <w:rPr>
          <w:rFonts w:ascii="標楷體" w:eastAsia="標楷體" w:hAnsi="標楷體"/>
          <w:sz w:val="28"/>
        </w:rPr>
        <w:t>、</w:t>
      </w:r>
      <w:r>
        <w:rPr>
          <w:rFonts w:ascii="標楷體" w:eastAsia="標楷體" w:hAnsi="標楷體" w:hint="eastAsia"/>
          <w:sz w:val="28"/>
        </w:rPr>
        <w:t>步驟二，申請型式認可證書：經步驟</w:t>
      </w:r>
      <w:proofErr w:type="gramStart"/>
      <w:r>
        <w:rPr>
          <w:rFonts w:ascii="標楷體" w:eastAsia="標楷體" w:hAnsi="標楷體" w:hint="eastAsia"/>
          <w:sz w:val="28"/>
        </w:rPr>
        <w:t>一</w:t>
      </w:r>
      <w:proofErr w:type="gramEnd"/>
      <w:r>
        <w:rPr>
          <w:rFonts w:ascii="標楷體" w:eastAsia="標楷體" w:hAnsi="標楷體" w:hint="eastAsia"/>
          <w:sz w:val="28"/>
        </w:rPr>
        <w:t>試驗符合標準規定取得型式試驗報告後，檢附</w:t>
      </w:r>
      <w:hyperlink r:id="rId15" w:history="1">
        <w:r>
          <w:rPr>
            <w:rStyle w:val="a3"/>
            <w:rFonts w:ascii="標楷體" w:eastAsia="標楷體" w:hAnsi="標楷體" w:hint="eastAsia"/>
            <w:sz w:val="28"/>
          </w:rPr>
          <w:t>申請書</w:t>
        </w:r>
      </w:hyperlink>
      <w:r>
        <w:rPr>
          <w:rFonts w:ascii="標楷體" w:eastAsia="標楷體" w:hAnsi="標楷體" w:hint="eastAsia"/>
          <w:sz w:val="28"/>
        </w:rPr>
        <w:t>(點選後以超連結方式至相關網址下載空白表格)、型式試驗報告及相關</w:t>
      </w:r>
      <w:r>
        <w:rPr>
          <w:rFonts w:ascii="標楷體" w:eastAsia="標楷體" w:hAnsi="標楷體" w:hint="eastAsia"/>
          <w:color w:val="FF0000"/>
          <w:sz w:val="28"/>
          <w:u w:val="single"/>
        </w:rPr>
        <w:t>技術文件</w:t>
      </w:r>
      <w:r>
        <w:rPr>
          <w:rFonts w:ascii="標楷體" w:eastAsia="標楷體" w:hAnsi="標楷體" w:hint="eastAsia"/>
          <w:sz w:val="28"/>
        </w:rPr>
        <w:t>向</w:t>
      </w:r>
      <w:r>
        <w:rPr>
          <w:rFonts w:ascii="標楷體" w:eastAsia="標楷體" w:hAnsi="標楷體"/>
          <w:sz w:val="28"/>
        </w:rPr>
        <w:t>標準檢驗局</w:t>
      </w:r>
      <w:r>
        <w:rPr>
          <w:rFonts w:ascii="標楷體" w:eastAsia="標楷體" w:hAnsi="標楷體" w:hint="eastAsia"/>
          <w:sz w:val="28"/>
        </w:rPr>
        <w:t>及</w:t>
      </w:r>
      <w:r>
        <w:rPr>
          <w:rFonts w:ascii="標楷體" w:eastAsia="標楷體" w:hAnsi="標楷體"/>
          <w:sz w:val="28"/>
        </w:rPr>
        <w:t>其所屬轄區分局</w:t>
      </w:r>
      <w:r>
        <w:rPr>
          <w:rFonts w:ascii="標楷體" w:eastAsia="標楷體" w:hAnsi="標楷體" w:hint="eastAsia"/>
          <w:sz w:val="28"/>
        </w:rPr>
        <w:t>申請。</w:t>
      </w:r>
    </w:p>
    <w:p w:rsidR="00D20A08" w:rsidRDefault="00D20A08">
      <w:pPr>
        <w:snapToGrid w:val="0"/>
        <w:spacing w:after="50" w:line="400" w:lineRule="atLeast"/>
        <w:ind w:left="700" w:hangingChars="250" w:hanging="700"/>
        <w:rPr>
          <w:rFonts w:ascii="標楷體" w:eastAsia="標楷體" w:hAnsi="標楷體" w:hint="eastAsia"/>
          <w:sz w:val="28"/>
        </w:rPr>
      </w:pPr>
    </w:p>
    <w:p w:rsidR="00D20A08" w:rsidRDefault="00D20A08">
      <w:pPr>
        <w:snapToGrid w:val="0"/>
        <w:spacing w:after="50" w:line="400" w:lineRule="atLeast"/>
        <w:ind w:left="700" w:hangingChars="250" w:hanging="70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四</w:t>
      </w:r>
      <w:r>
        <w:rPr>
          <w:rFonts w:ascii="標楷體" w:eastAsia="標楷體" w:hAnsi="標楷體"/>
          <w:sz w:val="28"/>
        </w:rPr>
        <w:t>、</w:t>
      </w:r>
      <w:r>
        <w:rPr>
          <w:rFonts w:ascii="標楷體" w:eastAsia="標楷體" w:hAnsi="標楷體" w:hint="eastAsia"/>
          <w:sz w:val="28"/>
        </w:rPr>
        <w:t>取得型式認可證書後，每批產品進口或於內銷出廠前仍須向標準檢驗局申請檢驗，檢驗方式及標示等規定詳如</w:t>
      </w:r>
      <w:hyperlink r:id="rId16" w:history="1">
        <w:r>
          <w:rPr>
            <w:rStyle w:val="a3"/>
            <w:rFonts w:ascii="標楷體" w:eastAsia="標楷體" w:hAnsi="標楷體"/>
            <w:sz w:val="28"/>
          </w:rPr>
          <w:t>木製板材類商品檢驗作業規定</w:t>
        </w:r>
      </w:hyperlink>
      <w:r>
        <w:rPr>
          <w:rFonts w:ascii="標楷體" w:eastAsia="標楷體" w:hAnsi="標楷體" w:hint="eastAsia"/>
          <w:sz w:val="28"/>
        </w:rPr>
        <w:t>(點選後以超連結方式至相關網址查詢規定內容)第</w:t>
      </w:r>
      <w:r w:rsidR="00E63485">
        <w:rPr>
          <w:rFonts w:ascii="標楷體" w:eastAsia="標楷體" w:hAnsi="標楷體" w:hint="eastAsia"/>
          <w:sz w:val="28"/>
        </w:rPr>
        <w:t>六</w:t>
      </w:r>
      <w:r>
        <w:rPr>
          <w:rFonts w:ascii="標楷體" w:eastAsia="標楷體" w:hAnsi="標楷體" w:hint="eastAsia"/>
          <w:sz w:val="28"/>
        </w:rPr>
        <w:t>點至第</w:t>
      </w:r>
      <w:r w:rsidR="00E63485">
        <w:rPr>
          <w:rFonts w:ascii="標楷體" w:eastAsia="標楷體" w:hAnsi="標楷體" w:hint="eastAsia"/>
          <w:sz w:val="28"/>
        </w:rPr>
        <w:t>九</w:t>
      </w:r>
      <w:r>
        <w:rPr>
          <w:rFonts w:ascii="標楷體" w:eastAsia="標楷體" w:hAnsi="標楷體" w:hint="eastAsia"/>
          <w:sz w:val="28"/>
        </w:rPr>
        <w:t>點</w:t>
      </w:r>
      <w:r w:rsidR="00E63485">
        <w:rPr>
          <w:rFonts w:ascii="標楷體" w:eastAsia="標楷體" w:hAnsi="標楷體" w:hint="eastAsia"/>
          <w:sz w:val="28"/>
        </w:rPr>
        <w:t>、第</w:t>
      </w:r>
      <w:r w:rsidR="00217607">
        <w:rPr>
          <w:rFonts w:ascii="標楷體" w:eastAsia="標楷體" w:hAnsi="標楷體" w:hint="eastAsia"/>
          <w:sz w:val="28"/>
        </w:rPr>
        <w:t>十五</w:t>
      </w:r>
      <w:r w:rsidR="00E63485">
        <w:rPr>
          <w:rFonts w:ascii="標楷體" w:eastAsia="標楷體" w:hAnsi="標楷體" w:hint="eastAsia"/>
          <w:sz w:val="28"/>
        </w:rPr>
        <w:t>點至第</w:t>
      </w:r>
      <w:r w:rsidR="00217607">
        <w:rPr>
          <w:rFonts w:ascii="標楷體" w:eastAsia="標楷體" w:hAnsi="標楷體" w:hint="eastAsia"/>
          <w:sz w:val="28"/>
        </w:rPr>
        <w:t>十七</w:t>
      </w:r>
      <w:r w:rsidR="00E63485">
        <w:rPr>
          <w:rFonts w:ascii="標楷體" w:eastAsia="標楷體" w:hAnsi="標楷體" w:hint="eastAsia"/>
          <w:sz w:val="28"/>
        </w:rPr>
        <w:t>點</w:t>
      </w:r>
      <w:r>
        <w:rPr>
          <w:rFonts w:ascii="標楷體" w:eastAsia="標楷體" w:hAnsi="標楷體" w:hint="eastAsia"/>
          <w:sz w:val="28"/>
        </w:rPr>
        <w:t>。</w:t>
      </w:r>
    </w:p>
    <w:p w:rsidR="00D20A08" w:rsidRPr="00EC1B0D" w:rsidRDefault="00D20A08">
      <w:pPr>
        <w:snapToGrid w:val="0"/>
        <w:spacing w:after="50" w:line="400" w:lineRule="atLeast"/>
        <w:ind w:left="700" w:hangingChars="250" w:hanging="700"/>
        <w:rPr>
          <w:rFonts w:ascii="標楷體" w:eastAsia="標楷體" w:hAnsi="標楷體" w:hint="eastAsia"/>
          <w:sz w:val="28"/>
        </w:rPr>
      </w:pPr>
    </w:p>
    <w:p w:rsidR="00D20A08" w:rsidRDefault="00D20A08">
      <w:pPr>
        <w:snapToGrid w:val="0"/>
        <w:spacing w:after="50" w:line="400" w:lineRule="atLeast"/>
        <w:ind w:left="700" w:hangingChars="250" w:hanging="70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五</w:t>
      </w:r>
      <w:r>
        <w:rPr>
          <w:rFonts w:ascii="標楷體" w:eastAsia="標楷體" w:hAnsi="標楷體"/>
          <w:sz w:val="28"/>
        </w:rPr>
        <w:t>、</w:t>
      </w:r>
      <w:r>
        <w:rPr>
          <w:rFonts w:ascii="Arial Unicode MS" w:eastAsia="標楷體" w:hAnsi="Arial Unicode MS" w:cs="Arial Unicode MS" w:hint="eastAsia"/>
          <w:color w:val="000000"/>
          <w:kern w:val="0"/>
          <w:sz w:val="28"/>
        </w:rPr>
        <w:t>經濟部標準檢驗局</w:t>
      </w:r>
      <w:r>
        <w:rPr>
          <w:rFonts w:ascii="標楷體" w:eastAsia="標楷體" w:hAnsi="標楷體" w:hint="eastAsia"/>
          <w:color w:val="000000"/>
          <w:sz w:val="28"/>
        </w:rPr>
        <w:t>各分局或辦事處地址與聯絡電話如下表</w:t>
      </w:r>
    </w:p>
    <w:p w:rsidR="00D20A08" w:rsidRDefault="00D20A08">
      <w:pPr>
        <w:widowControl/>
        <w:snapToGrid w:val="0"/>
        <w:spacing w:line="440" w:lineRule="atLeast"/>
        <w:ind w:left="560" w:hangingChars="200" w:hanging="560"/>
        <w:jc w:val="center"/>
        <w:rPr>
          <w:rFonts w:ascii="標楷體" w:eastAsia="標楷體" w:hAnsi="標楷體" w:hint="eastAsia"/>
          <w:color w:val="000000"/>
          <w:sz w:val="28"/>
        </w:rPr>
      </w:pPr>
    </w:p>
    <w:tbl>
      <w:tblPr>
        <w:tblW w:w="97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2196"/>
        <w:gridCol w:w="1800"/>
        <w:gridCol w:w="4140"/>
      </w:tblGrid>
      <w:tr w:rsidR="00D20A08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D20A08" w:rsidRDefault="00D20A08">
            <w:pPr>
              <w:snapToGrid w:val="0"/>
              <w:ind w:leftChars="-12" w:left="-7" w:hangingChars="10" w:hanging="22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廠商所在地</w:t>
            </w:r>
          </w:p>
        </w:tc>
        <w:tc>
          <w:tcPr>
            <w:tcW w:w="2196" w:type="dxa"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標準檢驗局轄區分局</w:t>
            </w:r>
          </w:p>
        </w:tc>
        <w:tc>
          <w:tcPr>
            <w:tcW w:w="1800" w:type="dxa"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分局或辦事處</w:t>
            </w:r>
          </w:p>
        </w:tc>
        <w:tc>
          <w:tcPr>
            <w:tcW w:w="4140" w:type="dxa"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地址與連絡電話</w:t>
            </w:r>
          </w:p>
        </w:tc>
      </w:tr>
      <w:tr w:rsidR="00D20A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Merge w:val="restart"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花蓮縣、台東縣</w:t>
            </w:r>
          </w:p>
        </w:tc>
        <w:tc>
          <w:tcPr>
            <w:tcW w:w="2196" w:type="dxa"/>
            <w:vMerge w:val="restart"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花蓮分局</w:t>
            </w:r>
          </w:p>
        </w:tc>
        <w:tc>
          <w:tcPr>
            <w:tcW w:w="1800" w:type="dxa"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sz w:val="22"/>
                <w:szCs w:val="16"/>
              </w:rPr>
              <w:t>分局</w:t>
            </w:r>
          </w:p>
        </w:tc>
        <w:tc>
          <w:tcPr>
            <w:tcW w:w="4140" w:type="dxa"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sz w:val="22"/>
                <w:szCs w:val="16"/>
              </w:rPr>
              <w:t>花蓮市海岸路</w:t>
            </w:r>
            <w:r>
              <w:rPr>
                <w:rFonts w:ascii="標楷體" w:eastAsia="標楷體" w:hAnsi="標楷體"/>
                <w:sz w:val="22"/>
                <w:szCs w:val="16"/>
              </w:rPr>
              <w:t>19號</w:t>
            </w:r>
          </w:p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16"/>
              </w:rPr>
              <w:t>電話：（03）822-1121</w:t>
            </w:r>
          </w:p>
        </w:tc>
      </w:tr>
      <w:tr w:rsidR="00D20A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Merge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</w:tc>
        <w:tc>
          <w:tcPr>
            <w:tcW w:w="2196" w:type="dxa"/>
            <w:vMerge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</w:tc>
        <w:tc>
          <w:tcPr>
            <w:tcW w:w="1800" w:type="dxa"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台東辦事處</w:t>
            </w:r>
          </w:p>
        </w:tc>
        <w:tc>
          <w:tcPr>
            <w:tcW w:w="4140" w:type="dxa"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台東市強國街258號</w:t>
            </w:r>
          </w:p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16"/>
              </w:rPr>
              <w:t>電話：（0</w:t>
            </w:r>
            <w:r>
              <w:rPr>
                <w:rFonts w:ascii="標楷體" w:eastAsia="標楷體" w:hAnsi="標楷體" w:hint="eastAsia"/>
                <w:sz w:val="22"/>
                <w:szCs w:val="16"/>
              </w:rPr>
              <w:t>89</w:t>
            </w:r>
            <w:r>
              <w:rPr>
                <w:rFonts w:ascii="標楷體" w:eastAsia="標楷體" w:hAnsi="標楷體"/>
                <w:sz w:val="22"/>
                <w:szCs w:val="16"/>
              </w:rPr>
              <w:t>）</w:t>
            </w:r>
            <w:r>
              <w:rPr>
                <w:rFonts w:ascii="標楷體" w:eastAsia="標楷體" w:hAnsi="標楷體" w:hint="eastAsia"/>
                <w:sz w:val="22"/>
                <w:szCs w:val="16"/>
              </w:rPr>
              <w:t>322710</w:t>
            </w:r>
          </w:p>
        </w:tc>
      </w:tr>
      <w:tr w:rsidR="00D20A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Merge w:val="restart"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基隆市、宜蘭縣、連江縣</w:t>
            </w:r>
          </w:p>
        </w:tc>
        <w:tc>
          <w:tcPr>
            <w:tcW w:w="2196" w:type="dxa"/>
            <w:vMerge w:val="restart"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基隆分局</w:t>
            </w:r>
          </w:p>
        </w:tc>
        <w:tc>
          <w:tcPr>
            <w:tcW w:w="1800" w:type="dxa"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分局</w:t>
            </w:r>
          </w:p>
        </w:tc>
        <w:tc>
          <w:tcPr>
            <w:tcW w:w="4140" w:type="dxa"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基隆市港西街8號</w:t>
            </w:r>
          </w:p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16"/>
              </w:rPr>
              <w:t>電話：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02-24231151</w:t>
            </w:r>
          </w:p>
        </w:tc>
      </w:tr>
      <w:tr w:rsidR="00D20A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Merge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</w:tc>
        <w:tc>
          <w:tcPr>
            <w:tcW w:w="2196" w:type="dxa"/>
            <w:vMerge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</w:tc>
        <w:tc>
          <w:tcPr>
            <w:tcW w:w="1800" w:type="dxa"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五堵辦事處</w:t>
            </w:r>
          </w:p>
        </w:tc>
        <w:tc>
          <w:tcPr>
            <w:tcW w:w="4140" w:type="dxa"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基隆市福五街85巷3號</w:t>
            </w:r>
          </w:p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16"/>
              </w:rPr>
              <w:t>電話：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02-24525008</w:t>
            </w:r>
          </w:p>
        </w:tc>
      </w:tr>
      <w:tr w:rsidR="00D20A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Merge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</w:tc>
        <w:tc>
          <w:tcPr>
            <w:tcW w:w="2196" w:type="dxa"/>
            <w:vMerge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</w:tc>
        <w:tc>
          <w:tcPr>
            <w:tcW w:w="1800" w:type="dxa"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蘇澳辦事處</w:t>
            </w:r>
          </w:p>
        </w:tc>
        <w:tc>
          <w:tcPr>
            <w:tcW w:w="4140" w:type="dxa"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蘇澳港行政大樓1F</w:t>
            </w:r>
          </w:p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16"/>
              </w:rPr>
              <w:t>電話：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03-9965028</w:t>
            </w:r>
          </w:p>
        </w:tc>
      </w:tr>
      <w:tr w:rsidR="00D20A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Merge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</w:tc>
        <w:tc>
          <w:tcPr>
            <w:tcW w:w="2196" w:type="dxa"/>
            <w:vMerge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</w:tc>
        <w:tc>
          <w:tcPr>
            <w:tcW w:w="1800" w:type="dxa"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馬祖辦事處</w:t>
            </w:r>
          </w:p>
        </w:tc>
        <w:tc>
          <w:tcPr>
            <w:tcW w:w="4140" w:type="dxa"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連江縣南竿鄉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</w:rPr>
              <w:t>福澳村129號</w:t>
            </w:r>
            <w:proofErr w:type="gramEnd"/>
          </w:p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16"/>
              </w:rPr>
              <w:t>電話：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0836-23755</w:t>
            </w:r>
          </w:p>
        </w:tc>
      </w:tr>
      <w:tr w:rsidR="00D20A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Merge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</w:tc>
        <w:tc>
          <w:tcPr>
            <w:tcW w:w="2196" w:type="dxa"/>
            <w:vMerge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</w:tc>
        <w:tc>
          <w:tcPr>
            <w:tcW w:w="1800" w:type="dxa"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台北港辦事處</w:t>
            </w:r>
          </w:p>
        </w:tc>
        <w:tc>
          <w:tcPr>
            <w:tcW w:w="4140" w:type="dxa"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新北市八里區商港路123號</w:t>
            </w:r>
          </w:p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16"/>
              </w:rPr>
              <w:t>電話：</w:t>
            </w:r>
            <w:r>
              <w:rPr>
                <w:rFonts w:ascii="標楷體" w:eastAsia="標楷體" w:hAnsi="標楷體" w:hint="eastAsia"/>
                <w:sz w:val="22"/>
                <w:szCs w:val="16"/>
              </w:rPr>
              <w:t>02-26192691</w:t>
            </w:r>
          </w:p>
        </w:tc>
      </w:tr>
      <w:tr w:rsidR="00D20A08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台北市、新北市</w:t>
            </w:r>
          </w:p>
        </w:tc>
        <w:tc>
          <w:tcPr>
            <w:tcW w:w="2196" w:type="dxa"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第六組</w:t>
            </w:r>
          </w:p>
        </w:tc>
        <w:tc>
          <w:tcPr>
            <w:tcW w:w="1800" w:type="dxa"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報驗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</w:rPr>
              <w:t>發證科</w:t>
            </w:r>
            <w:proofErr w:type="gramEnd"/>
          </w:p>
        </w:tc>
        <w:tc>
          <w:tcPr>
            <w:tcW w:w="4140" w:type="dxa"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台北市濟南路1段4號</w:t>
            </w:r>
          </w:p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02-23431698</w:t>
            </w:r>
          </w:p>
        </w:tc>
      </w:tr>
      <w:tr w:rsidR="00D20A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Merge w:val="restart"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桃園縣、新竹縣(市)、苗栗縣</w:t>
            </w:r>
          </w:p>
        </w:tc>
        <w:tc>
          <w:tcPr>
            <w:tcW w:w="2196" w:type="dxa"/>
            <w:vMerge w:val="restart"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新竹分局</w:t>
            </w:r>
          </w:p>
        </w:tc>
        <w:tc>
          <w:tcPr>
            <w:tcW w:w="1800" w:type="dxa"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分局</w:t>
            </w:r>
          </w:p>
        </w:tc>
        <w:tc>
          <w:tcPr>
            <w:tcW w:w="4140" w:type="dxa"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新竹市民族路109巷14號</w:t>
            </w:r>
          </w:p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電話：03-5427011</w:t>
            </w:r>
          </w:p>
        </w:tc>
      </w:tr>
      <w:tr w:rsidR="00D20A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Merge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</w:tc>
        <w:tc>
          <w:tcPr>
            <w:tcW w:w="2196" w:type="dxa"/>
            <w:vMerge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</w:tc>
        <w:tc>
          <w:tcPr>
            <w:tcW w:w="1800" w:type="dxa"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桃園辦事處</w:t>
            </w:r>
          </w:p>
        </w:tc>
        <w:tc>
          <w:tcPr>
            <w:tcW w:w="4140" w:type="dxa"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桃園縣中壢市龍岡路1段46號</w:t>
            </w:r>
          </w:p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電話：03-4594791</w:t>
            </w:r>
          </w:p>
        </w:tc>
      </w:tr>
      <w:tr w:rsidR="00D20A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Merge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</w:tc>
        <w:tc>
          <w:tcPr>
            <w:tcW w:w="2196" w:type="dxa"/>
            <w:vMerge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</w:tc>
        <w:tc>
          <w:tcPr>
            <w:tcW w:w="1800" w:type="dxa"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台灣桃園機場辦事處</w:t>
            </w:r>
          </w:p>
        </w:tc>
        <w:tc>
          <w:tcPr>
            <w:tcW w:w="4140" w:type="dxa"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桃園縣大園鄉埔心村航勤北路7號</w:t>
            </w:r>
          </w:p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電話：03-3983050</w:t>
            </w:r>
          </w:p>
        </w:tc>
      </w:tr>
      <w:tr w:rsidR="00D20A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Merge w:val="restart"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台中市、南投縣、彰化縣</w:t>
            </w:r>
          </w:p>
        </w:tc>
        <w:tc>
          <w:tcPr>
            <w:tcW w:w="2196" w:type="dxa"/>
            <w:vMerge w:val="restart"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台中分局</w:t>
            </w:r>
          </w:p>
        </w:tc>
        <w:tc>
          <w:tcPr>
            <w:tcW w:w="1800" w:type="dxa"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分局</w:t>
            </w:r>
          </w:p>
        </w:tc>
        <w:tc>
          <w:tcPr>
            <w:tcW w:w="4140" w:type="dxa"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台中市南區工學路70號</w:t>
            </w:r>
          </w:p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電話：04-22612161</w:t>
            </w:r>
          </w:p>
        </w:tc>
      </w:tr>
      <w:tr w:rsidR="00D20A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Merge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</w:tc>
        <w:tc>
          <w:tcPr>
            <w:tcW w:w="2196" w:type="dxa"/>
            <w:vMerge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</w:tc>
        <w:tc>
          <w:tcPr>
            <w:tcW w:w="1800" w:type="dxa"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台中港辦事處</w:t>
            </w:r>
          </w:p>
        </w:tc>
        <w:tc>
          <w:tcPr>
            <w:tcW w:w="4140" w:type="dxa"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台中港海港聯合辦公大樓A棟1樓</w:t>
            </w:r>
          </w:p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電話：04-26562483</w:t>
            </w:r>
          </w:p>
        </w:tc>
      </w:tr>
      <w:tr w:rsidR="00D20A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Merge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</w:tc>
        <w:tc>
          <w:tcPr>
            <w:tcW w:w="2196" w:type="dxa"/>
            <w:vMerge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</w:tc>
        <w:tc>
          <w:tcPr>
            <w:tcW w:w="1800" w:type="dxa"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員林辦事處</w:t>
            </w:r>
          </w:p>
        </w:tc>
        <w:tc>
          <w:tcPr>
            <w:tcW w:w="4140" w:type="dxa"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彰化縣員林鎮中山路2段75號</w:t>
            </w:r>
          </w:p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電話：04-8354988</w:t>
            </w:r>
          </w:p>
        </w:tc>
      </w:tr>
      <w:tr w:rsidR="00D20A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Merge w:val="restart"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雲林縣、嘉義縣、台南市</w:t>
            </w:r>
          </w:p>
        </w:tc>
        <w:tc>
          <w:tcPr>
            <w:tcW w:w="2196" w:type="dxa"/>
            <w:vMerge w:val="restart"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台南分局</w:t>
            </w:r>
          </w:p>
        </w:tc>
        <w:tc>
          <w:tcPr>
            <w:tcW w:w="1800" w:type="dxa"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分局</w:t>
            </w:r>
          </w:p>
        </w:tc>
        <w:tc>
          <w:tcPr>
            <w:tcW w:w="4140" w:type="dxa"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台南市北門路1段179號</w:t>
            </w:r>
          </w:p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電話：06-2264101</w:t>
            </w:r>
          </w:p>
        </w:tc>
      </w:tr>
      <w:tr w:rsidR="00D20A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Merge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</w:tc>
        <w:tc>
          <w:tcPr>
            <w:tcW w:w="2196" w:type="dxa"/>
            <w:vMerge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</w:tc>
        <w:tc>
          <w:tcPr>
            <w:tcW w:w="1800" w:type="dxa"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嘉義辦事處</w:t>
            </w:r>
          </w:p>
        </w:tc>
        <w:tc>
          <w:tcPr>
            <w:tcW w:w="4140" w:type="dxa"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嘉義市民權路312號</w:t>
            </w:r>
          </w:p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電話：05-2787875</w:t>
            </w:r>
          </w:p>
        </w:tc>
      </w:tr>
      <w:tr w:rsidR="00D20A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Merge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</w:tc>
        <w:tc>
          <w:tcPr>
            <w:tcW w:w="2196" w:type="dxa"/>
            <w:vMerge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</w:tc>
        <w:tc>
          <w:tcPr>
            <w:tcW w:w="1800" w:type="dxa"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斗六辦事處</w:t>
            </w:r>
          </w:p>
        </w:tc>
        <w:tc>
          <w:tcPr>
            <w:tcW w:w="4140" w:type="dxa"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雲林縣斗六市府前街105號</w:t>
            </w:r>
          </w:p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電話：05-5322384</w:t>
            </w:r>
          </w:p>
        </w:tc>
      </w:tr>
      <w:tr w:rsidR="00D20A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Merge w:val="restart"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高雄市、屏東縣、澎湖縣、金門縣</w:t>
            </w:r>
          </w:p>
        </w:tc>
        <w:tc>
          <w:tcPr>
            <w:tcW w:w="2196" w:type="dxa"/>
            <w:vMerge w:val="restart"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高雄分局</w:t>
            </w:r>
          </w:p>
        </w:tc>
        <w:tc>
          <w:tcPr>
            <w:tcW w:w="1800" w:type="dxa"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分局</w:t>
            </w:r>
          </w:p>
        </w:tc>
        <w:tc>
          <w:tcPr>
            <w:tcW w:w="4140" w:type="dxa"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高雄市海邊路50號</w:t>
            </w:r>
          </w:p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電話：07-2511151</w:t>
            </w:r>
          </w:p>
        </w:tc>
      </w:tr>
      <w:tr w:rsidR="00D20A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Merge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</w:tc>
        <w:tc>
          <w:tcPr>
            <w:tcW w:w="2196" w:type="dxa"/>
            <w:vMerge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</w:tc>
        <w:tc>
          <w:tcPr>
            <w:tcW w:w="1800" w:type="dxa"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第二港口辦事處</w:t>
            </w:r>
          </w:p>
        </w:tc>
        <w:tc>
          <w:tcPr>
            <w:tcW w:w="4140" w:type="dxa"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高雄市小港區亞太路4號B棟1樓</w:t>
            </w:r>
          </w:p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電話：07-8210682</w:t>
            </w:r>
          </w:p>
        </w:tc>
      </w:tr>
      <w:tr w:rsidR="00D20A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Merge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</w:tc>
        <w:tc>
          <w:tcPr>
            <w:tcW w:w="2196" w:type="dxa"/>
            <w:vMerge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</w:tc>
        <w:tc>
          <w:tcPr>
            <w:tcW w:w="1800" w:type="dxa"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金門辦事處</w:t>
            </w:r>
          </w:p>
        </w:tc>
        <w:tc>
          <w:tcPr>
            <w:tcW w:w="4140" w:type="dxa"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金門縣金城鎮金山路7號</w:t>
            </w:r>
          </w:p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電話：</w:t>
            </w:r>
            <w:r>
              <w:rPr>
                <w:rFonts w:ascii="標楷體" w:eastAsia="標楷體" w:hAnsi="標楷體"/>
                <w:color w:val="000000"/>
                <w:sz w:val="22"/>
              </w:rPr>
              <w:t>(082)321272</w:t>
            </w:r>
          </w:p>
        </w:tc>
      </w:tr>
      <w:tr w:rsidR="00D20A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Merge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</w:tc>
        <w:tc>
          <w:tcPr>
            <w:tcW w:w="2196" w:type="dxa"/>
            <w:vMerge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</w:tc>
        <w:tc>
          <w:tcPr>
            <w:tcW w:w="1800" w:type="dxa"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澎湖辦事處</w:t>
            </w:r>
          </w:p>
        </w:tc>
        <w:tc>
          <w:tcPr>
            <w:tcW w:w="4140" w:type="dxa"/>
          </w:tcPr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澎湖縣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馬公市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新生路</w:t>
            </w:r>
            <w:r>
              <w:rPr>
                <w:rFonts w:ascii="標楷體" w:eastAsia="標楷體" w:hAnsi="標楷體" w:cs="Arial"/>
                <w:sz w:val="22"/>
                <w:szCs w:val="22"/>
              </w:rPr>
              <w:t>177-2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號</w:t>
            </w:r>
          </w:p>
          <w:p w:rsidR="00D20A08" w:rsidRDefault="00D20A08">
            <w:pPr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電話：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(06)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Arial"/>
                <w:sz w:val="22"/>
                <w:szCs w:val="22"/>
              </w:rPr>
              <w:t>9278391</w:t>
            </w:r>
          </w:p>
        </w:tc>
      </w:tr>
    </w:tbl>
    <w:p w:rsidR="00D20A08" w:rsidRDefault="00D20A08">
      <w:pPr>
        <w:snapToGrid w:val="0"/>
        <w:spacing w:after="50" w:line="400" w:lineRule="atLeast"/>
        <w:ind w:left="700" w:hangingChars="250" w:hanging="700"/>
        <w:rPr>
          <w:rFonts w:ascii="標楷體" w:eastAsia="標楷體" w:hAnsi="標楷體" w:hint="eastAsia"/>
          <w:sz w:val="28"/>
        </w:rPr>
      </w:pPr>
    </w:p>
    <w:sectPr w:rsidR="00D20A0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C29" w:rsidRDefault="00CE3C29" w:rsidP="00021C30">
      <w:r>
        <w:separator/>
      </w:r>
    </w:p>
  </w:endnote>
  <w:endnote w:type="continuationSeparator" w:id="0">
    <w:p w:rsidR="00CE3C29" w:rsidRDefault="00CE3C29" w:rsidP="00021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C29" w:rsidRDefault="00CE3C29" w:rsidP="00021C30">
      <w:r>
        <w:separator/>
      </w:r>
    </w:p>
  </w:footnote>
  <w:footnote w:type="continuationSeparator" w:id="0">
    <w:p w:rsidR="00CE3C29" w:rsidRDefault="00CE3C29" w:rsidP="00021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25A60"/>
    <w:multiLevelType w:val="hybridMultilevel"/>
    <w:tmpl w:val="FA949722"/>
    <w:lvl w:ilvl="0" w:tplc="3854637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A731CED"/>
    <w:multiLevelType w:val="hybridMultilevel"/>
    <w:tmpl w:val="77EC08EA"/>
    <w:lvl w:ilvl="0" w:tplc="9A7E43A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C30"/>
    <w:rsid w:val="00021C30"/>
    <w:rsid w:val="000B4C17"/>
    <w:rsid w:val="001830B8"/>
    <w:rsid w:val="00217607"/>
    <w:rsid w:val="006C53C7"/>
    <w:rsid w:val="006F1746"/>
    <w:rsid w:val="007D08D6"/>
    <w:rsid w:val="0080325B"/>
    <w:rsid w:val="009879D6"/>
    <w:rsid w:val="00CE3C29"/>
    <w:rsid w:val="00D20A08"/>
    <w:rsid w:val="00E63485"/>
    <w:rsid w:val="00EC1B0D"/>
    <w:rsid w:val="00F3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character" w:styleId="a4">
    <w:name w:val="FollowedHyperlink"/>
    <w:basedOn w:val="a0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21C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21C30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021C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21C3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character" w:styleId="a4">
    <w:name w:val="FollowedHyperlink"/>
    <w:basedOn w:val="a0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21C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21C30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021C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21C3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mi.gov.tw/wSite/public/Data/f1475725867601.docx" TargetMode="External"/><Relationship Id="rId13" Type="http://schemas.openxmlformats.org/officeDocument/2006/relationships/hyperlink" Target="http://www.bsmi.gov.tw/wSite/laws/review.jsp?lawId=52c50c903f3d3799013f40b8ca1e003e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smi.gov.tw/wSite/public/Data/f1475725248435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smi.gov.tw/wSite/laws/review.jsp?lawId=52c50c903f3d3799013f40b8ca1e003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smi.gov.tw/wSite/public/Data/f1475725511252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smi.gov.tw/wSite/public/Data/f1299642429197.doc" TargetMode="External"/><Relationship Id="rId10" Type="http://schemas.openxmlformats.org/officeDocument/2006/relationships/hyperlink" Target="http://www.bsmi.gov.tw/wSite/public/Data/f1475725361093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smi.gov.tw/wSite/public/Data/f1475726285968.docx" TargetMode="External"/><Relationship Id="rId14" Type="http://schemas.openxmlformats.org/officeDocument/2006/relationships/hyperlink" Target="http://civil.bsmi.gov.tw/bsmi_pqn/index.js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1951</Characters>
  <Application>Microsoft Office Word</Application>
  <DocSecurity>0</DocSecurity>
  <Lines>16</Lines>
  <Paragraphs>4</Paragraphs>
  <ScaleCrop>false</ScaleCrop>
  <Company>bsmi</Company>
  <LinksUpToDate>false</LinksUpToDate>
  <CharactersWithSpaces>2289</CharactersWithSpaces>
  <SharedDoc>false</SharedDoc>
  <HLinks>
    <vt:vector size="54" baseType="variant">
      <vt:variant>
        <vt:i4>3932223</vt:i4>
      </vt:variant>
      <vt:variant>
        <vt:i4>24</vt:i4>
      </vt:variant>
      <vt:variant>
        <vt:i4>0</vt:i4>
      </vt:variant>
      <vt:variant>
        <vt:i4>5</vt:i4>
      </vt:variant>
      <vt:variant>
        <vt:lpwstr>http://www.bsmi.gov.tw/wSite/laws/review.jsp?lawId=52c50c903f3d3799013f40b8ca1e003e</vt:lpwstr>
      </vt:variant>
      <vt:variant>
        <vt:lpwstr/>
      </vt:variant>
      <vt:variant>
        <vt:i4>4128817</vt:i4>
      </vt:variant>
      <vt:variant>
        <vt:i4>21</vt:i4>
      </vt:variant>
      <vt:variant>
        <vt:i4>0</vt:i4>
      </vt:variant>
      <vt:variant>
        <vt:i4>5</vt:i4>
      </vt:variant>
      <vt:variant>
        <vt:lpwstr>http://www.bsmi.gov.tw/wSite/public/Data/f1299642429197.doc</vt:lpwstr>
      </vt:variant>
      <vt:variant>
        <vt:lpwstr/>
      </vt:variant>
      <vt:variant>
        <vt:i4>1900652</vt:i4>
      </vt:variant>
      <vt:variant>
        <vt:i4>18</vt:i4>
      </vt:variant>
      <vt:variant>
        <vt:i4>0</vt:i4>
      </vt:variant>
      <vt:variant>
        <vt:i4>5</vt:i4>
      </vt:variant>
      <vt:variant>
        <vt:lpwstr>http://civil.bsmi.gov.tw/bsmi_pqn/index.jsp</vt:lpwstr>
      </vt:variant>
      <vt:variant>
        <vt:lpwstr/>
      </vt:variant>
      <vt:variant>
        <vt:i4>3932223</vt:i4>
      </vt:variant>
      <vt:variant>
        <vt:i4>15</vt:i4>
      </vt:variant>
      <vt:variant>
        <vt:i4>0</vt:i4>
      </vt:variant>
      <vt:variant>
        <vt:i4>5</vt:i4>
      </vt:variant>
      <vt:variant>
        <vt:lpwstr>http://www.bsmi.gov.tw/wSite/laws/review.jsp?lawId=52c50c903f3d3799013f40b8ca1e003e</vt:lpwstr>
      </vt:variant>
      <vt:variant>
        <vt:lpwstr/>
      </vt:variant>
      <vt:variant>
        <vt:i4>4587611</vt:i4>
      </vt:variant>
      <vt:variant>
        <vt:i4>12</vt:i4>
      </vt:variant>
      <vt:variant>
        <vt:i4>0</vt:i4>
      </vt:variant>
      <vt:variant>
        <vt:i4>5</vt:i4>
      </vt:variant>
      <vt:variant>
        <vt:lpwstr>http://www.bsmi.gov.tw/wSite/public/Data/f1475725248435.docx</vt:lpwstr>
      </vt:variant>
      <vt:variant>
        <vt:lpwstr/>
      </vt:variant>
      <vt:variant>
        <vt:i4>5111903</vt:i4>
      </vt:variant>
      <vt:variant>
        <vt:i4>9</vt:i4>
      </vt:variant>
      <vt:variant>
        <vt:i4>0</vt:i4>
      </vt:variant>
      <vt:variant>
        <vt:i4>5</vt:i4>
      </vt:variant>
      <vt:variant>
        <vt:lpwstr>http://www.bsmi.gov.tw/wSite/public/Data/f1475725511252.docx</vt:lpwstr>
      </vt:variant>
      <vt:variant>
        <vt:lpwstr/>
      </vt:variant>
      <vt:variant>
        <vt:i4>4456539</vt:i4>
      </vt:variant>
      <vt:variant>
        <vt:i4>6</vt:i4>
      </vt:variant>
      <vt:variant>
        <vt:i4>0</vt:i4>
      </vt:variant>
      <vt:variant>
        <vt:i4>5</vt:i4>
      </vt:variant>
      <vt:variant>
        <vt:lpwstr>http://www.bsmi.gov.tw/wSite/public/Data/f1475725361093.docx</vt:lpwstr>
      </vt:variant>
      <vt:variant>
        <vt:lpwstr/>
      </vt:variant>
      <vt:variant>
        <vt:i4>5111892</vt:i4>
      </vt:variant>
      <vt:variant>
        <vt:i4>3</vt:i4>
      </vt:variant>
      <vt:variant>
        <vt:i4>0</vt:i4>
      </vt:variant>
      <vt:variant>
        <vt:i4>5</vt:i4>
      </vt:variant>
      <vt:variant>
        <vt:lpwstr>http://www.bsmi.gov.tw/wSite/public/Data/f1475726285968.docx</vt:lpwstr>
      </vt:variant>
      <vt:variant>
        <vt:lpwstr/>
      </vt:variant>
      <vt:variant>
        <vt:i4>4194399</vt:i4>
      </vt:variant>
      <vt:variant>
        <vt:i4>0</vt:i4>
      </vt:variant>
      <vt:variant>
        <vt:i4>0</vt:i4>
      </vt:variant>
      <vt:variant>
        <vt:i4>5</vt:i4>
      </vt:variant>
      <vt:variant>
        <vt:lpwstr>http://www.bsmi.gov.tw/wSite/public/Data/f1475725867601.docx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木製板材類商品申請型式認可作業流程及相關表格</dc:title>
  <dc:creator>C120026932</dc:creator>
  <cp:lastModifiedBy>陳世昌</cp:lastModifiedBy>
  <cp:revision>2</cp:revision>
  <dcterms:created xsi:type="dcterms:W3CDTF">2018-11-05T02:43:00Z</dcterms:created>
  <dcterms:modified xsi:type="dcterms:W3CDTF">2018-11-05T02:43:00Z</dcterms:modified>
  <cp:category>5A0,7B0,E5Z</cp:category>
</cp:coreProperties>
</file>